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4FEC" w:rsidRPr="008D4FEC" w:rsidRDefault="008D4FEC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D4FEC">
        <w:rPr>
          <w:rFonts w:ascii="Times New Roman" w:hAnsi="Times New Roman" w:cs="Times New Roman"/>
          <w:b/>
          <w:bCs/>
          <w:sz w:val="24"/>
          <w:szCs w:val="24"/>
        </w:rPr>
        <w:t>Supplementary File 2</w:t>
      </w:r>
    </w:p>
    <w:p w:rsidR="00A8092A" w:rsidRDefault="007A1C55">
      <w:r>
        <w:rPr>
          <w:noProof/>
        </w:rPr>
        <w:drawing>
          <wp:anchor distT="0" distB="0" distL="114300" distR="114300" simplePos="0" relativeHeight="251659264" behindDoc="0" locked="0" layoutInCell="1" allowOverlap="1" wp14:anchorId="12E16110" wp14:editId="6B555889">
            <wp:simplePos x="0" y="0"/>
            <wp:positionH relativeFrom="column">
              <wp:posOffset>535021</wp:posOffset>
            </wp:positionH>
            <wp:positionV relativeFrom="paragraph">
              <wp:posOffset>282575</wp:posOffset>
            </wp:positionV>
            <wp:extent cx="4572000" cy="2743200"/>
            <wp:effectExtent l="0" t="0" r="0" b="0"/>
            <wp:wrapNone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anchor>
        </w:drawing>
      </w:r>
    </w:p>
    <w:p w:rsidR="007A1C55" w:rsidRDefault="007A1C55"/>
    <w:p w:rsidR="007A1C55" w:rsidRDefault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>
      <w:r>
        <w:rPr>
          <w:noProof/>
        </w:rPr>
        <w:drawing>
          <wp:anchor distT="0" distB="0" distL="114300" distR="114300" simplePos="0" relativeHeight="251658240" behindDoc="0" locked="0" layoutInCell="1" allowOverlap="1" wp14:anchorId="56F0BD5D" wp14:editId="6C9D6A01">
            <wp:simplePos x="0" y="0"/>
            <wp:positionH relativeFrom="margin">
              <wp:posOffset>553139</wp:posOffset>
            </wp:positionH>
            <wp:positionV relativeFrom="paragraph">
              <wp:posOffset>87684</wp:posOffset>
            </wp:positionV>
            <wp:extent cx="4572000" cy="2743200"/>
            <wp:effectExtent l="0" t="0" r="0" b="0"/>
            <wp:wrapNone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anchor>
        </w:drawing>
      </w:r>
    </w:p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/>
    <w:p w:rsidR="007A1C55" w:rsidRDefault="007A1C55" w:rsidP="007A1C55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C63F2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S1</w:t>
      </w:r>
      <w:r w:rsidRPr="00C63F2C">
        <w:rPr>
          <w:rFonts w:ascii="Times New Roman" w:hAnsi="Times New Roman" w:cs="Times New Roman"/>
          <w:sz w:val="24"/>
          <w:szCs w:val="24"/>
        </w:rPr>
        <w:t xml:space="preserve"> Mismatch distribution of pairwise nucleotide differences</w:t>
      </w:r>
      <w:r>
        <w:rPr>
          <w:rFonts w:ascii="Times New Roman" w:hAnsi="Times New Roman" w:cs="Times New Roman"/>
          <w:sz w:val="24"/>
          <w:szCs w:val="24"/>
        </w:rPr>
        <w:t xml:space="preserve"> for </w:t>
      </w:r>
      <w:r w:rsidRPr="007A1C55">
        <w:rPr>
          <w:rFonts w:ascii="Times New Roman" w:hAnsi="Times New Roman" w:cs="Times New Roman"/>
          <w:i/>
          <w:iCs/>
          <w:sz w:val="24"/>
          <w:szCs w:val="24"/>
        </w:rPr>
        <w:t xml:space="preserve">F. </w:t>
      </w:r>
      <w:proofErr w:type="spellStart"/>
      <w:r w:rsidRPr="007A1C55">
        <w:rPr>
          <w:rFonts w:ascii="Times New Roman" w:hAnsi="Times New Roman" w:cs="Times New Roman"/>
          <w:i/>
          <w:iCs/>
          <w:sz w:val="24"/>
          <w:szCs w:val="24"/>
        </w:rPr>
        <w:t>gigentica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for </w:t>
      </w:r>
      <w:proofErr w:type="spellStart"/>
      <w:r>
        <w:rPr>
          <w:rFonts w:ascii="Times New Roman" w:hAnsi="Times New Roman" w:cs="Times New Roman"/>
          <w:sz w:val="24"/>
          <w:szCs w:val="24"/>
        </w:rPr>
        <w:t>COi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and ND1 genes</w:t>
      </w:r>
      <w:r w:rsidRPr="00C63F2C">
        <w:rPr>
          <w:rFonts w:ascii="Times New Roman" w:hAnsi="Times New Roman" w:cs="Times New Roman"/>
          <w:sz w:val="24"/>
          <w:szCs w:val="24"/>
        </w:rPr>
        <w:t>.</w:t>
      </w:r>
    </w:p>
    <w:p w:rsidR="00301DE6" w:rsidRDefault="00301DE6" w:rsidP="00881081">
      <w:pPr>
        <w:jc w:val="center"/>
      </w:pPr>
      <w:r>
        <w:rPr>
          <w:noProof/>
        </w:rPr>
        <w:lastRenderedPageBreak/>
        <w:drawing>
          <wp:inline distT="0" distB="0" distL="0" distR="0" wp14:anchorId="71D08474" wp14:editId="67764A81">
            <wp:extent cx="5486400" cy="5573395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57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081" w:rsidRDefault="00881081" w:rsidP="000565B6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C63F2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S2</w:t>
      </w:r>
      <w:r w:rsidR="00545C6A">
        <w:rPr>
          <w:rFonts w:ascii="Times New Roman" w:hAnsi="Times New Roman" w:cs="Times New Roman"/>
          <w:sz w:val="24"/>
          <w:szCs w:val="24"/>
        </w:rPr>
        <w:t xml:space="preserve">: </w:t>
      </w:r>
      <w:r w:rsidR="00545C6A">
        <w:rPr>
          <w:rFonts w:ascii="Times New Roman" w:hAnsi="Times New Roman" w:cs="Times New Roman"/>
          <w:sz w:val="24"/>
          <w:szCs w:val="24"/>
        </w:rPr>
        <w:t>ND1 gene country-wise m</w:t>
      </w:r>
      <w:r w:rsidR="00545C6A" w:rsidRPr="00545C6A">
        <w:rPr>
          <w:rFonts w:ascii="Times New Roman" w:hAnsi="Times New Roman" w:cs="Times New Roman"/>
          <w:sz w:val="24"/>
          <w:szCs w:val="24"/>
        </w:rPr>
        <w:t>axim</w:t>
      </w:r>
      <w:r w:rsidR="00545C6A">
        <w:rPr>
          <w:rFonts w:ascii="Times New Roman" w:hAnsi="Times New Roman" w:cs="Times New Roman"/>
          <w:sz w:val="24"/>
          <w:szCs w:val="24"/>
        </w:rPr>
        <w:t>um likelihood phylogenetic tree</w:t>
      </w:r>
      <w:r w:rsidR="00545C6A" w:rsidRPr="00545C6A">
        <w:rPr>
          <w:rFonts w:ascii="Times New Roman" w:hAnsi="Times New Roman" w:cs="Times New Roman"/>
          <w:sz w:val="24"/>
          <w:szCs w:val="24"/>
        </w:rPr>
        <w:t xml:space="preserve"> of </w:t>
      </w:r>
      <w:r w:rsidR="00545C6A" w:rsidRPr="00545C6A">
        <w:rPr>
          <w:rFonts w:ascii="Times New Roman" w:hAnsi="Times New Roman" w:cs="Times New Roman"/>
          <w:i/>
          <w:iCs/>
          <w:sz w:val="24"/>
          <w:szCs w:val="24"/>
        </w:rPr>
        <w:t xml:space="preserve">F. </w:t>
      </w:r>
      <w:proofErr w:type="spellStart"/>
      <w:r w:rsidR="00545C6A" w:rsidRPr="00545C6A">
        <w:rPr>
          <w:rFonts w:ascii="Times New Roman" w:hAnsi="Times New Roman" w:cs="Times New Roman"/>
          <w:i/>
          <w:iCs/>
          <w:sz w:val="24"/>
          <w:szCs w:val="24"/>
        </w:rPr>
        <w:t>gigantica</w:t>
      </w:r>
      <w:proofErr w:type="spellEnd"/>
      <w:r w:rsidR="00545C6A" w:rsidRPr="00545C6A">
        <w:rPr>
          <w:rFonts w:ascii="Times New Roman" w:hAnsi="Times New Roman" w:cs="Times New Roman"/>
          <w:sz w:val="24"/>
          <w:szCs w:val="24"/>
        </w:rPr>
        <w:t xml:space="preserve"> haplotypes from Sudan and </w:t>
      </w:r>
      <w:r w:rsidR="00545C6A">
        <w:rPr>
          <w:rFonts w:ascii="Times New Roman" w:hAnsi="Times New Roman" w:cs="Times New Roman"/>
          <w:sz w:val="24"/>
          <w:szCs w:val="24"/>
        </w:rPr>
        <w:t>other</w:t>
      </w:r>
      <w:r w:rsidR="00545C6A" w:rsidRPr="00545C6A">
        <w:rPr>
          <w:rFonts w:ascii="Times New Roman" w:hAnsi="Times New Roman" w:cs="Times New Roman"/>
          <w:sz w:val="24"/>
          <w:szCs w:val="24"/>
        </w:rPr>
        <w:t xml:space="preserve"> their African counterparts</w:t>
      </w:r>
      <w:r w:rsidR="00545C6A">
        <w:rPr>
          <w:rFonts w:ascii="Times New Roman" w:hAnsi="Times New Roman" w:cs="Times New Roman"/>
          <w:sz w:val="24"/>
          <w:szCs w:val="24"/>
        </w:rPr>
        <w:t xml:space="preserve"> with 1000 </w:t>
      </w:r>
      <w:r w:rsidR="00545C6A" w:rsidRPr="00545C6A">
        <w:rPr>
          <w:rFonts w:ascii="Times New Roman" w:hAnsi="Times New Roman" w:cs="Times New Roman"/>
          <w:sz w:val="24"/>
          <w:szCs w:val="24"/>
        </w:rPr>
        <w:t xml:space="preserve">bootstrap value </w:t>
      </w:r>
      <w:r w:rsidR="00545C6A">
        <w:rPr>
          <w:rFonts w:ascii="Times New Roman" w:hAnsi="Times New Roman" w:cs="Times New Roman"/>
          <w:sz w:val="24"/>
          <w:szCs w:val="24"/>
        </w:rPr>
        <w:t>and c</w:t>
      </w:r>
      <w:r w:rsidR="00545C6A" w:rsidRPr="00545C6A">
        <w:rPr>
          <w:rFonts w:ascii="Times New Roman" w:hAnsi="Times New Roman" w:cs="Times New Roman"/>
          <w:sz w:val="24"/>
          <w:szCs w:val="24"/>
        </w:rPr>
        <w:t xml:space="preserve">ut-off value of </w:t>
      </w:r>
      <w:r w:rsidR="00545C6A">
        <w:rPr>
          <w:rFonts w:ascii="Times New Roman" w:hAnsi="Times New Roman" w:cs="Times New Roman"/>
          <w:sz w:val="24"/>
          <w:szCs w:val="24"/>
        </w:rPr>
        <w:t>70%.</w:t>
      </w:r>
    </w:p>
    <w:p w:rsidR="00301DE6" w:rsidRDefault="00301DE6" w:rsidP="00301DE6">
      <w:pPr>
        <w:jc w:val="both"/>
      </w:pPr>
    </w:p>
    <w:p w:rsidR="00301DE6" w:rsidRDefault="00301DE6" w:rsidP="00301DE6">
      <w:pPr>
        <w:jc w:val="both"/>
      </w:pPr>
    </w:p>
    <w:p w:rsidR="00301DE6" w:rsidRDefault="00301DE6" w:rsidP="00301DE6">
      <w:pPr>
        <w:jc w:val="both"/>
      </w:pPr>
    </w:p>
    <w:p w:rsidR="00301DE6" w:rsidRDefault="00301DE6" w:rsidP="00301DE6">
      <w:pPr>
        <w:jc w:val="both"/>
      </w:pPr>
    </w:p>
    <w:p w:rsidR="00301DE6" w:rsidRDefault="00301DE6" w:rsidP="00301DE6">
      <w:pPr>
        <w:jc w:val="both"/>
      </w:pPr>
    </w:p>
    <w:p w:rsidR="00301DE6" w:rsidRDefault="00301DE6" w:rsidP="00301DE6">
      <w:pPr>
        <w:jc w:val="both"/>
      </w:pPr>
    </w:p>
    <w:p w:rsidR="00301DE6" w:rsidRDefault="00301DE6" w:rsidP="00301DE6">
      <w:pPr>
        <w:jc w:val="both"/>
      </w:pPr>
    </w:p>
    <w:p w:rsidR="00301DE6" w:rsidRDefault="00301DE6" w:rsidP="00301DE6">
      <w:pPr>
        <w:jc w:val="both"/>
      </w:pPr>
    </w:p>
    <w:p w:rsidR="00301DE6" w:rsidRDefault="00301DE6" w:rsidP="00881081">
      <w:pPr>
        <w:jc w:val="center"/>
      </w:pPr>
      <w:r>
        <w:rPr>
          <w:noProof/>
        </w:rPr>
        <w:drawing>
          <wp:inline distT="0" distB="0" distL="0" distR="0" wp14:anchorId="40151426" wp14:editId="03B2D51E">
            <wp:extent cx="5486400" cy="5728970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72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DE6" w:rsidRDefault="00301DE6" w:rsidP="00301DE6">
      <w:pPr>
        <w:jc w:val="both"/>
      </w:pPr>
    </w:p>
    <w:p w:rsidR="00881081" w:rsidRPr="00545C6A" w:rsidRDefault="00881081" w:rsidP="00545C6A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C63F2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="00545C6A">
        <w:rPr>
          <w:rFonts w:ascii="Times New Roman" w:hAnsi="Times New Roman" w:cs="Times New Roman"/>
          <w:sz w:val="24"/>
          <w:szCs w:val="24"/>
        </w:rPr>
        <w:t>: ND1 gene country-wise m</w:t>
      </w:r>
      <w:r w:rsidR="00545C6A" w:rsidRPr="00545C6A">
        <w:rPr>
          <w:rFonts w:ascii="Times New Roman" w:hAnsi="Times New Roman" w:cs="Times New Roman"/>
          <w:sz w:val="24"/>
          <w:szCs w:val="24"/>
        </w:rPr>
        <w:t>axim</w:t>
      </w:r>
      <w:r w:rsidR="00545C6A">
        <w:rPr>
          <w:rFonts w:ascii="Times New Roman" w:hAnsi="Times New Roman" w:cs="Times New Roman"/>
          <w:sz w:val="24"/>
          <w:szCs w:val="24"/>
        </w:rPr>
        <w:t>um likelihood phylogenetic tree</w:t>
      </w:r>
      <w:r w:rsidR="00545C6A" w:rsidRPr="00545C6A">
        <w:rPr>
          <w:rFonts w:ascii="Times New Roman" w:hAnsi="Times New Roman" w:cs="Times New Roman"/>
          <w:sz w:val="24"/>
          <w:szCs w:val="24"/>
        </w:rPr>
        <w:t xml:space="preserve"> of </w:t>
      </w:r>
      <w:r w:rsidR="00545C6A" w:rsidRPr="00545C6A">
        <w:rPr>
          <w:rFonts w:ascii="Times New Roman" w:hAnsi="Times New Roman" w:cs="Times New Roman"/>
          <w:i/>
          <w:iCs/>
          <w:sz w:val="24"/>
          <w:szCs w:val="24"/>
        </w:rPr>
        <w:t xml:space="preserve">F. </w:t>
      </w:r>
      <w:proofErr w:type="spellStart"/>
      <w:r w:rsidR="00545C6A" w:rsidRPr="00545C6A">
        <w:rPr>
          <w:rFonts w:ascii="Times New Roman" w:hAnsi="Times New Roman" w:cs="Times New Roman"/>
          <w:i/>
          <w:iCs/>
          <w:sz w:val="24"/>
          <w:szCs w:val="24"/>
        </w:rPr>
        <w:t>gigantica</w:t>
      </w:r>
      <w:proofErr w:type="spellEnd"/>
      <w:r w:rsidR="00545C6A" w:rsidRPr="00545C6A">
        <w:rPr>
          <w:rFonts w:ascii="Times New Roman" w:hAnsi="Times New Roman" w:cs="Times New Roman"/>
          <w:sz w:val="24"/>
          <w:szCs w:val="24"/>
        </w:rPr>
        <w:t xml:space="preserve"> haplotypes from Sudan and </w:t>
      </w:r>
      <w:r w:rsidR="00545C6A">
        <w:rPr>
          <w:rFonts w:ascii="Times New Roman" w:hAnsi="Times New Roman" w:cs="Times New Roman"/>
          <w:sz w:val="24"/>
          <w:szCs w:val="24"/>
        </w:rPr>
        <w:t>other</w:t>
      </w:r>
      <w:r w:rsidR="00545C6A" w:rsidRPr="00545C6A">
        <w:rPr>
          <w:rFonts w:ascii="Times New Roman" w:hAnsi="Times New Roman" w:cs="Times New Roman"/>
          <w:sz w:val="24"/>
          <w:szCs w:val="24"/>
        </w:rPr>
        <w:t xml:space="preserve"> their African counterparts</w:t>
      </w:r>
      <w:r w:rsidR="00545C6A">
        <w:rPr>
          <w:rFonts w:ascii="Times New Roman" w:hAnsi="Times New Roman" w:cs="Times New Roman"/>
          <w:sz w:val="24"/>
          <w:szCs w:val="24"/>
        </w:rPr>
        <w:t xml:space="preserve"> with 1000 </w:t>
      </w:r>
      <w:r w:rsidR="00545C6A" w:rsidRPr="00545C6A">
        <w:rPr>
          <w:rFonts w:ascii="Times New Roman" w:hAnsi="Times New Roman" w:cs="Times New Roman"/>
          <w:sz w:val="24"/>
          <w:szCs w:val="24"/>
        </w:rPr>
        <w:t xml:space="preserve">bootstrap value </w:t>
      </w:r>
      <w:r w:rsidR="00545C6A">
        <w:rPr>
          <w:rFonts w:ascii="Times New Roman" w:hAnsi="Times New Roman" w:cs="Times New Roman"/>
          <w:sz w:val="24"/>
          <w:szCs w:val="24"/>
        </w:rPr>
        <w:t>and c</w:t>
      </w:r>
      <w:r w:rsidR="00545C6A" w:rsidRPr="00545C6A">
        <w:rPr>
          <w:rFonts w:ascii="Times New Roman" w:hAnsi="Times New Roman" w:cs="Times New Roman"/>
          <w:sz w:val="24"/>
          <w:szCs w:val="24"/>
        </w:rPr>
        <w:t xml:space="preserve">ut-off value of </w:t>
      </w:r>
      <w:r w:rsidR="00545C6A">
        <w:rPr>
          <w:rFonts w:ascii="Times New Roman" w:hAnsi="Times New Roman" w:cs="Times New Roman"/>
          <w:sz w:val="24"/>
          <w:szCs w:val="24"/>
        </w:rPr>
        <w:t>70%.</w:t>
      </w:r>
    </w:p>
    <w:p w:rsidR="00301DE6" w:rsidRDefault="00301DE6" w:rsidP="00301DE6">
      <w:pPr>
        <w:jc w:val="both"/>
      </w:pPr>
    </w:p>
    <w:p w:rsidR="00301DE6" w:rsidRPr="007A1C55" w:rsidRDefault="00301DE6" w:rsidP="007A1C55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sectPr w:rsidR="00301DE6" w:rsidRPr="007A1C5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1C55"/>
    <w:rsid w:val="000565B6"/>
    <w:rsid w:val="00075889"/>
    <w:rsid w:val="001A30EA"/>
    <w:rsid w:val="002A19FE"/>
    <w:rsid w:val="00301DE6"/>
    <w:rsid w:val="00376870"/>
    <w:rsid w:val="00545C6A"/>
    <w:rsid w:val="007A1C55"/>
    <w:rsid w:val="00881081"/>
    <w:rsid w:val="008D4FEC"/>
    <w:rsid w:val="00B113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58CB6E"/>
  <w15:chartTrackingRefBased/>
  <w15:docId w15:val="{2816D1EA-2889-465C-8144-49A6595DAF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8108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chart" Target="charts/chart2.xml"/><Relationship Id="rId4" Type="http://schemas.openxmlformats.org/officeDocument/2006/relationships/chart" Target="charts/chart1.xml"/><Relationship Id="rId9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b="1">
                <a:solidFill>
                  <a:sysClr val="windowText" lastClr="000000"/>
                </a:solidFill>
              </a:rPr>
              <a:t>COI gene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Sheet1!$C$2</c:f>
              <c:strCache>
                <c:ptCount val="1"/>
                <c:pt idx="0">
                  <c:v>Observed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Sheet1!$C$3:$C$10</c:f>
              <c:numCache>
                <c:formatCode>General</c:formatCode>
                <c:ptCount val="8"/>
                <c:pt idx="1">
                  <c:v>0</c:v>
                </c:pt>
                <c:pt idx="2">
                  <c:v>7</c:v>
                </c:pt>
                <c:pt idx="3">
                  <c:v>17</c:v>
                </c:pt>
                <c:pt idx="4">
                  <c:v>8</c:v>
                </c:pt>
                <c:pt idx="5">
                  <c:v>7</c:v>
                </c:pt>
                <c:pt idx="6">
                  <c:v>6</c:v>
                </c:pt>
                <c:pt idx="7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34E-4403-9475-80AE196F53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29699344"/>
        <c:axId val="529702256"/>
      </c:barChart>
      <c:scatterChart>
        <c:scatterStyle val="smoothMarker"/>
        <c:varyColors val="0"/>
        <c:ser>
          <c:idx val="1"/>
          <c:order val="1"/>
          <c:tx>
            <c:strRef>
              <c:f>Sheet1!$D$2</c:f>
              <c:strCache>
                <c:ptCount val="1"/>
                <c:pt idx="0">
                  <c:v>Simulated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yVal>
            <c:numRef>
              <c:f>Sheet1!$D$3:$D$10</c:f>
              <c:numCache>
                <c:formatCode>General</c:formatCode>
                <c:ptCount val="8"/>
                <c:pt idx="1">
                  <c:v>5.7</c:v>
                </c:pt>
                <c:pt idx="2">
                  <c:v>6.4</c:v>
                </c:pt>
                <c:pt idx="3">
                  <c:v>9.5</c:v>
                </c:pt>
                <c:pt idx="4">
                  <c:v>8.6999999999999993</c:v>
                </c:pt>
                <c:pt idx="5">
                  <c:v>6.5</c:v>
                </c:pt>
                <c:pt idx="6">
                  <c:v>4.3</c:v>
                </c:pt>
                <c:pt idx="7">
                  <c:v>2.1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C34E-4403-9475-80AE196F53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29699344"/>
        <c:axId val="529702256"/>
      </c:scatterChart>
      <c:catAx>
        <c:axId val="52969934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 b="1" i="0" baseline="0">
                    <a:solidFill>
                      <a:sysClr val="windowText" lastClr="000000"/>
                    </a:solidFill>
                    <a:effectLst/>
                  </a:rPr>
                  <a:t>Number of mismatches</a:t>
                </a:r>
                <a:endParaRPr lang="en-US" sz="1200">
                  <a:solidFill>
                    <a:sysClr val="windowText" lastClr="000000"/>
                  </a:solidFill>
                  <a:effectLst/>
                </a:endParaRPr>
              </a:p>
            </c:rich>
          </c:tx>
          <c:layout>
            <c:manualLayout>
              <c:xMode val="edge"/>
              <c:yMode val="edge"/>
              <c:x val="0.35634492563429571"/>
              <c:y val="0.7631780402449693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29702256"/>
        <c:crosses val="autoZero"/>
        <c:auto val="1"/>
        <c:lblAlgn val="ctr"/>
        <c:lblOffset val="100"/>
        <c:noMultiLvlLbl val="0"/>
      </c:catAx>
      <c:valAx>
        <c:axId val="5297022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 b="1" i="0" baseline="0">
                    <a:solidFill>
                      <a:schemeClr val="tx1"/>
                    </a:solidFill>
                    <a:effectLst/>
                  </a:rPr>
                  <a:t>Relative frequency (%)</a:t>
                </a:r>
                <a:endParaRPr lang="en-US" sz="1200">
                  <a:solidFill>
                    <a:schemeClr val="tx1"/>
                  </a:solidFill>
                  <a:effectLst/>
                </a:endParaRPr>
              </a:p>
            </c:rich>
          </c:tx>
          <c:layout>
            <c:manualLayout>
              <c:xMode val="edge"/>
              <c:yMode val="edge"/>
              <c:x val="2.2222222222222223E-2"/>
              <c:y val="0.1346759259259259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296993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b="1">
                <a:solidFill>
                  <a:schemeClr val="tx1"/>
                </a:solidFill>
              </a:rPr>
              <a:t>ND1</a:t>
            </a:r>
            <a:r>
              <a:rPr lang="en-US" b="1" baseline="0">
                <a:solidFill>
                  <a:schemeClr val="tx1"/>
                </a:solidFill>
              </a:rPr>
              <a:t> gene</a:t>
            </a:r>
            <a:endParaRPr lang="en-US" b="1">
              <a:solidFill>
                <a:schemeClr val="tx1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Sheet2!$C$2</c:f>
              <c:strCache>
                <c:ptCount val="1"/>
                <c:pt idx="0">
                  <c:v>Observed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Sheet2!$C$3:$C$14</c:f>
              <c:numCache>
                <c:formatCode>General</c:formatCode>
                <c:ptCount val="12"/>
                <c:pt idx="0">
                  <c:v>0</c:v>
                </c:pt>
                <c:pt idx="1">
                  <c:v>6</c:v>
                </c:pt>
                <c:pt idx="2">
                  <c:v>13</c:v>
                </c:pt>
                <c:pt idx="3">
                  <c:v>21</c:v>
                </c:pt>
                <c:pt idx="4">
                  <c:v>15</c:v>
                </c:pt>
                <c:pt idx="5">
                  <c:v>19</c:v>
                </c:pt>
                <c:pt idx="6">
                  <c:v>15</c:v>
                </c:pt>
                <c:pt idx="7">
                  <c:v>7</c:v>
                </c:pt>
                <c:pt idx="8">
                  <c:v>6</c:v>
                </c:pt>
                <c:pt idx="9">
                  <c:v>2</c:v>
                </c:pt>
                <c:pt idx="10">
                  <c:v>1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EAB-4223-BFD7-6885863970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14732368"/>
        <c:axId val="1014743184"/>
      </c:barChart>
      <c:scatterChart>
        <c:scatterStyle val="smoothMarker"/>
        <c:varyColors val="0"/>
        <c:ser>
          <c:idx val="1"/>
          <c:order val="1"/>
          <c:tx>
            <c:strRef>
              <c:f>Sheet2!$D$2</c:f>
              <c:strCache>
                <c:ptCount val="1"/>
                <c:pt idx="0">
                  <c:v>Simulated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yVal>
            <c:numRef>
              <c:f>Sheet2!$D$3:$D$14</c:f>
              <c:numCache>
                <c:formatCode>General</c:formatCode>
                <c:ptCount val="12"/>
                <c:pt idx="0">
                  <c:v>4.8</c:v>
                </c:pt>
                <c:pt idx="1">
                  <c:v>9.4</c:v>
                </c:pt>
                <c:pt idx="2">
                  <c:v>13.8</c:v>
                </c:pt>
                <c:pt idx="3">
                  <c:v>17.899999999999999</c:v>
                </c:pt>
                <c:pt idx="4">
                  <c:v>18.100000000000001</c:v>
                </c:pt>
                <c:pt idx="5">
                  <c:v>15.1</c:v>
                </c:pt>
                <c:pt idx="6">
                  <c:v>11.4</c:v>
                </c:pt>
                <c:pt idx="7">
                  <c:v>7.1</c:v>
                </c:pt>
                <c:pt idx="8">
                  <c:v>4.0999999999999996</c:v>
                </c:pt>
                <c:pt idx="9">
                  <c:v>2.1</c:v>
                </c:pt>
                <c:pt idx="10">
                  <c:v>0.8</c:v>
                </c:pt>
                <c:pt idx="11">
                  <c:v>0.3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BEAB-4223-BFD7-6885863970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14732368"/>
        <c:axId val="1014743184"/>
      </c:scatterChart>
      <c:catAx>
        <c:axId val="101473236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 b="1" i="0" baseline="0">
                    <a:solidFill>
                      <a:schemeClr val="tx1"/>
                    </a:solidFill>
                    <a:effectLst/>
                  </a:rPr>
                  <a:t>Number of mismatches</a:t>
                </a:r>
                <a:endParaRPr lang="en-US" sz="1200">
                  <a:solidFill>
                    <a:schemeClr val="tx1"/>
                  </a:solidFill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14743184"/>
        <c:crosses val="autoZero"/>
        <c:auto val="1"/>
        <c:lblAlgn val="ctr"/>
        <c:lblOffset val="100"/>
        <c:noMultiLvlLbl val="0"/>
      </c:catAx>
      <c:valAx>
        <c:axId val="1014743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 b="1" i="0" baseline="0">
                    <a:solidFill>
                      <a:schemeClr val="tx1"/>
                    </a:solidFill>
                    <a:effectLst/>
                  </a:rPr>
                  <a:t>Relative frequency (%)</a:t>
                </a:r>
                <a:endParaRPr lang="en-US" sz="1200">
                  <a:solidFill>
                    <a:schemeClr val="tx1"/>
                  </a:solidFill>
                  <a:effectLst/>
                </a:endParaRPr>
              </a:p>
            </c:rich>
          </c:tx>
          <c:layout>
            <c:manualLayout>
              <c:xMode val="edge"/>
              <c:yMode val="edge"/>
              <c:x val="1.6666666666666666E-2"/>
              <c:y val="0.1361807378244386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147323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68</Words>
  <Characters>496</Characters>
  <Application>Microsoft Office Word</Application>
  <DocSecurity>0</DocSecurity>
  <Lines>70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Bashir Salim</dc:creator>
  <cp:keywords/>
  <dc:description/>
  <cp:lastModifiedBy>Bashir Salim</cp:lastModifiedBy>
  <cp:revision>2</cp:revision>
  <dcterms:created xsi:type="dcterms:W3CDTF">2023-03-03T06:58:00Z</dcterms:created>
  <dcterms:modified xsi:type="dcterms:W3CDTF">2023-03-03T06:58:00Z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c05dcd1fc3e9e67fe70f408b6f30432712a8d1f0dc76db17af9135bdfc34d77f</vt:lpwstr>
  </property>
</Properties>
</file>